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sz w:val="34"/>
          <w:szCs w:val="34"/>
        </w:rPr>
      </w:pPr>
      <w:bookmarkStart w:colFirst="0" w:colLast="0" w:name="_heading=h.w9gr6zwchzu2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Subsecretaría de Emergencias.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64643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03075" y="3456775"/>
                          <a:ext cx="5885815" cy="646430"/>
                          <a:chOff x="2403075" y="3456775"/>
                          <a:chExt cx="5885825" cy="646450"/>
                        </a:xfrm>
                      </wpg:grpSpPr>
                      <wpg:grpSp>
                        <wpg:cNvGrpSpPr/>
                        <wpg:grpSpPr>
                          <a:xfrm>
                            <a:off x="2403093" y="3456785"/>
                            <a:ext cx="5885815" cy="646430"/>
                            <a:chOff x="2311653" y="3594580"/>
                            <a:chExt cx="6068695" cy="4727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653" y="3594580"/>
                              <a:ext cx="6068675" cy="47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11653" y="3594580"/>
                              <a:ext cx="6068695" cy="472705"/>
                              <a:chOff x="0" y="0"/>
                              <a:chExt cx="6068695" cy="47270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068675" cy="37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u w:val="single"/>
                                      <w:vertAlign w:val="baseline"/>
                                    </w:rPr>
                                    <w:t xml:space="preserve">Curso sobre género, familia y la violencia como modo de relación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068695" cy="364490"/>
                              </a:xfrm>
                              <a:custGeom>
                                <a:rect b="b" l="l" r="r" t="t"/>
                                <a:pathLst>
                                  <a:path extrusionOk="0" h="36449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4235"/>
                                    </a:lnTo>
                                    <a:lnTo>
                                      <a:pt x="6068314" y="364235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364236"/>
                                <a:ext cx="6068695" cy="6350"/>
                              </a:xfrm>
                              <a:custGeom>
                                <a:rect b="b" l="l" r="r" t="t"/>
                                <a:pathLst>
                                  <a:path extrusionOk="0" h="6350" w="6068695">
                                    <a:moveTo>
                                      <a:pt x="60683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6068314" y="6096"/>
                                    </a:lnTo>
                                    <a:lnTo>
                                      <a:pt x="6068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67505" y="144608"/>
                                <a:ext cx="5988051" cy="328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Jornada: relevamiento de actores sociales y diagnóstico participativo en gestión del riesgo.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60" w:line="240"/>
                                    <w:ind w:left="27.000000476837158" w:right="0" w:firstLine="27.000000476837158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406400</wp:posOffset>
                </wp:positionV>
                <wp:extent cx="5885815" cy="64643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646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Descripción:</w:t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Esta jornada busca capacitar a las comunidades, partiendo de su desconocimiento actual, en herramientas para comprender los factores sociales asociados a la prevención de desastres, promoviendo el conocimiento del territorio y el diseño de estrategias de reducción del riesgo, así como planes de manejo desde una perspectiva comunitaria articulada con políticas públicas, fomentando la participación y el diálogo interdisciplinario para integrar a la defensa civil en espacios multiactorales y desarrollar capacidades de intervención social con poblaciones vulnerables.</w:t>
      </w:r>
    </w:p>
    <w:p w:rsidR="00000000" w:rsidDel="00000000" w:rsidP="00000000" w:rsidRDefault="00000000" w:rsidRPr="00000000" w14:paraId="00000005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Destinatarios:</w:t>
      </w:r>
    </w:p>
    <w:p w:rsidR="00000000" w:rsidDel="00000000" w:rsidP="00000000" w:rsidRDefault="00000000" w:rsidRPr="00000000" w14:paraId="00000007">
      <w:pP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de las instituciones que forman el sistema provincial de emergencias local (bomberos, policía, salud, asistencia social, inspectores municipales y ONG vinculadas).</w:t>
      </w:r>
    </w:p>
    <w:p w:rsidR="00000000" w:rsidDel="00000000" w:rsidP="00000000" w:rsidRDefault="00000000" w:rsidRPr="00000000" w14:paraId="00000008">
      <w:pPr>
        <w:tabs>
          <w:tab w:val="left" w:leader="none" w:pos="7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Modalidad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presencial o virtual.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horaria: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3 horas reloj.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Ediciones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: 3 ediciones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284"/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Fecha de inicio y finalización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las fechas tentativas de inicio </w:t>
      </w:r>
      <w:r w:rsidDel="00000000" w:rsidR="00000000" w:rsidRPr="00000000">
        <w:rPr>
          <w:rFonts w:ascii="Arial" w:cs="Arial" w:eastAsia="Arial" w:hAnsi="Arial"/>
          <w:rtl w:val="0"/>
        </w:rPr>
        <w:t xml:space="preserve">dependen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la necesidad institucional.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Cupo: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participación máxima presencial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asistentes, dependiendo de las dimensiones del lugar. Participación máxima virtual de </w:t>
      </w:r>
      <w:r w:rsidDel="00000000" w:rsidR="00000000" w:rsidRPr="00000000">
        <w:rPr>
          <w:rFonts w:ascii="Arial" w:cs="Arial" w:eastAsia="Arial" w:hAnsi="Arial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asistentes.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 de contacto: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institucional (0221) 451-2002 int. 101/102.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5e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cursosfortalecimiento.dgdc@gmail.com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line="360" w:lineRule="auto"/>
        <w:ind w:firstLine="143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7" w:lineRule="auto"/>
      <w:ind w:left="143"/>
    </w:pPr>
    <w:rPr>
      <w:sz w:val="34"/>
      <w:szCs w:val="34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143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7"/>
      <w:ind w:left="143"/>
    </w:pPr>
    <w:rPr>
      <w:sz w:val="34"/>
      <w:szCs w:val="3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42"/>
      <w:ind w:left="863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rsid w:val="00D510A9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1223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C7122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1223"/>
    <w:rPr>
      <w:lang w:eastAsia="en-US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D5E7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A65761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ursosfortalecimiento.dgd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1bsINYH2YdDu1PWyq1h54IfXg==">CgMxLjAyDmgudzlncjZ6d2NoenUyOAByITF6dXZEc1hQcnJXQUk4eG0yZi1LT1N0cExuaEpabEhiTg==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2025-05-06T16:44:00Z</dcterms:created>
  <dc:creator>Vanina Miralles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